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60" w:rsidRDefault="002A6660" w:rsidP="002A6660">
      <w:pPr>
        <w:pStyle w:val="af"/>
        <w:ind w:left="-993" w:firstLine="426"/>
        <w:rPr>
          <w:b/>
          <w:color w:val="000000"/>
        </w:rPr>
      </w:pPr>
      <w:bookmarkStart w:id="0" w:name="block-8064875"/>
      <w:bookmarkStart w:id="1" w:name="_GoBack"/>
      <w:r w:rsidRPr="002A6660">
        <w:rPr>
          <w:b/>
          <w:noProof/>
          <w:color w:val="000000"/>
          <w:lang w:eastAsia="ru-RU"/>
        </w:rPr>
        <w:drawing>
          <wp:inline distT="0" distB="0" distL="0" distR="0">
            <wp:extent cx="5940425" cy="93617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6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25281" w:rsidRPr="00DF64F1" w:rsidRDefault="00025281" w:rsidP="00025281">
      <w:pPr>
        <w:pStyle w:val="af"/>
      </w:pPr>
      <w:r w:rsidRPr="00DF64F1">
        <w:rPr>
          <w:b/>
          <w:color w:val="000000"/>
        </w:rPr>
        <w:lastRenderedPageBreak/>
        <w:t>ПОЯСНИТЕЛЬНАЯ ЗАПИСКА</w:t>
      </w: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F64F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DF64F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DF64F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25281" w:rsidRPr="00DF64F1" w:rsidRDefault="00025281" w:rsidP="00025281">
      <w:pPr>
        <w:rPr>
          <w:lang w:val="ru-RU"/>
        </w:rPr>
        <w:sectPr w:rsidR="00025281" w:rsidRPr="00DF64F1">
          <w:pgSz w:w="11906" w:h="16383"/>
          <w:pgMar w:top="1134" w:right="850" w:bottom="1134" w:left="1701" w:header="720" w:footer="720" w:gutter="0"/>
          <w:cols w:space="720"/>
        </w:sectPr>
      </w:pP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  <w:bookmarkStart w:id="3" w:name="block-8064870"/>
      <w:bookmarkEnd w:id="0"/>
      <w:r w:rsidRPr="00DF64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F64F1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DF64F1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F64F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125337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DF64F1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25281" w:rsidRPr="00DF64F1" w:rsidRDefault="00025281" w:rsidP="00025281">
      <w:pPr>
        <w:rPr>
          <w:lang w:val="ru-RU"/>
        </w:rPr>
        <w:sectPr w:rsidR="00025281" w:rsidRPr="00DF64F1">
          <w:pgSz w:w="11906" w:h="16383"/>
          <w:pgMar w:top="1134" w:right="850" w:bottom="1134" w:left="1701" w:header="720" w:footer="720" w:gutter="0"/>
          <w:cols w:space="720"/>
        </w:sectPr>
      </w:pP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  <w:bookmarkStart w:id="4" w:name="block-8064871"/>
      <w:bookmarkEnd w:id="3"/>
      <w:r w:rsidRPr="00DF64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F64F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F64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F64F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</w:p>
    <w:p w:rsidR="00025281" w:rsidRDefault="00025281" w:rsidP="000252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5281" w:rsidRPr="00DF64F1" w:rsidRDefault="00025281" w:rsidP="00025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25281" w:rsidRPr="00DF64F1" w:rsidRDefault="00025281" w:rsidP="00025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25281" w:rsidRPr="00DF64F1" w:rsidRDefault="00025281" w:rsidP="00025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25281" w:rsidRPr="00DF64F1" w:rsidRDefault="00025281" w:rsidP="00025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5281" w:rsidRPr="00DF64F1" w:rsidRDefault="00025281" w:rsidP="00025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F64F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F64F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025281" w:rsidRPr="00DF64F1" w:rsidRDefault="00025281" w:rsidP="00025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5281" w:rsidRDefault="00025281" w:rsidP="000252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5281" w:rsidRPr="00DF64F1" w:rsidRDefault="00025281" w:rsidP="00025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25281" w:rsidRPr="00DF64F1" w:rsidRDefault="00025281" w:rsidP="00025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25281" w:rsidRPr="00DF64F1" w:rsidRDefault="00025281" w:rsidP="00025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5281" w:rsidRPr="00DF64F1" w:rsidRDefault="00025281" w:rsidP="00025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5281" w:rsidRDefault="00025281" w:rsidP="000252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5281" w:rsidRPr="00DF64F1" w:rsidRDefault="00025281" w:rsidP="000252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25281" w:rsidRPr="00DF64F1" w:rsidRDefault="00025281" w:rsidP="000252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25281" w:rsidRPr="00DF64F1" w:rsidRDefault="00025281" w:rsidP="000252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25281" w:rsidRPr="00DF64F1" w:rsidRDefault="00025281" w:rsidP="000252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25281" w:rsidRDefault="00025281" w:rsidP="000252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5281" w:rsidRPr="00DF64F1" w:rsidRDefault="00025281" w:rsidP="000252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F64F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25281" w:rsidRPr="00DF64F1" w:rsidRDefault="00025281" w:rsidP="000252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25281" w:rsidRPr="00DF64F1" w:rsidRDefault="00025281" w:rsidP="000252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25281" w:rsidRPr="00DF64F1" w:rsidRDefault="00025281" w:rsidP="000252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25281" w:rsidRPr="00DF64F1" w:rsidRDefault="00025281" w:rsidP="000252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25281" w:rsidRPr="00DF64F1" w:rsidRDefault="00025281" w:rsidP="000252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5281" w:rsidRPr="00DF64F1" w:rsidRDefault="00025281" w:rsidP="000252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5281" w:rsidRDefault="00025281" w:rsidP="000252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5281" w:rsidRPr="00DF64F1" w:rsidRDefault="00025281" w:rsidP="000252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25281" w:rsidRPr="00DF64F1" w:rsidRDefault="00025281" w:rsidP="000252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25281" w:rsidRPr="00DF64F1" w:rsidRDefault="00025281" w:rsidP="000252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F64F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F64F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</w:p>
    <w:p w:rsidR="00025281" w:rsidRDefault="00025281" w:rsidP="000252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  <w:r w:rsidRPr="00DF64F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25281" w:rsidRPr="00DF64F1" w:rsidRDefault="00025281" w:rsidP="00025281">
      <w:pPr>
        <w:spacing w:after="0" w:line="264" w:lineRule="auto"/>
        <w:ind w:left="120"/>
        <w:jc w:val="both"/>
        <w:rPr>
          <w:lang w:val="ru-RU"/>
        </w:rPr>
      </w:pP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DF64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64F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F64F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64F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F64F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64F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F64F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25281" w:rsidRPr="00DF64F1" w:rsidRDefault="00025281" w:rsidP="00025281">
      <w:pPr>
        <w:spacing w:after="0" w:line="264" w:lineRule="auto"/>
        <w:ind w:firstLine="600"/>
        <w:jc w:val="both"/>
        <w:rPr>
          <w:lang w:val="ru-RU"/>
        </w:rPr>
      </w:pPr>
      <w:r w:rsidRPr="00DF64F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25281" w:rsidRPr="00DF64F1" w:rsidRDefault="00025281" w:rsidP="00025281">
      <w:pPr>
        <w:rPr>
          <w:lang w:val="ru-RU"/>
        </w:rPr>
        <w:sectPr w:rsidR="00025281" w:rsidRPr="00DF64F1">
          <w:pgSz w:w="11906" w:h="16383"/>
          <w:pgMar w:top="1134" w:right="850" w:bottom="1134" w:left="1701" w:header="720" w:footer="720" w:gutter="0"/>
          <w:cols w:space="720"/>
        </w:sectPr>
      </w:pPr>
    </w:p>
    <w:p w:rsidR="00025281" w:rsidRDefault="00025281" w:rsidP="00025281">
      <w:pPr>
        <w:spacing w:after="0"/>
        <w:ind w:left="120"/>
      </w:pPr>
      <w:bookmarkStart w:id="6" w:name="block-8064872"/>
      <w:bookmarkEnd w:id="4"/>
      <w:r w:rsidRPr="00DF64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5281" w:rsidRDefault="00025281" w:rsidP="000252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25281" w:rsidTr="00C6425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281" w:rsidRDefault="00025281" w:rsidP="00C642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281" w:rsidRDefault="00025281" w:rsidP="00C642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281" w:rsidRDefault="00025281" w:rsidP="00C64254">
            <w:pPr>
              <w:spacing w:after="0"/>
              <w:ind w:left="135"/>
            </w:pPr>
          </w:p>
        </w:tc>
      </w:tr>
      <w:tr w:rsidR="00025281" w:rsidTr="00C642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281" w:rsidRDefault="00025281" w:rsidP="00C642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281" w:rsidRDefault="00025281" w:rsidP="00C6425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281" w:rsidRDefault="00025281" w:rsidP="00C6425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281" w:rsidRDefault="00025281" w:rsidP="00C6425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281" w:rsidRDefault="00025281" w:rsidP="00C642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281" w:rsidRDefault="00025281" w:rsidP="00C64254"/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25281" w:rsidTr="00C6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/>
        </w:tc>
      </w:tr>
    </w:tbl>
    <w:p w:rsidR="00025281" w:rsidRDefault="00025281" w:rsidP="00025281">
      <w:pPr>
        <w:sectPr w:rsidR="00025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281" w:rsidRDefault="00025281" w:rsidP="000252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25281" w:rsidTr="00C6425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281" w:rsidRDefault="00025281" w:rsidP="00C642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281" w:rsidRDefault="00025281" w:rsidP="00C642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281" w:rsidRDefault="00025281" w:rsidP="00C64254">
            <w:pPr>
              <w:spacing w:after="0"/>
              <w:ind w:left="135"/>
            </w:pPr>
          </w:p>
        </w:tc>
      </w:tr>
      <w:tr w:rsidR="00025281" w:rsidTr="00C642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281" w:rsidRDefault="00025281" w:rsidP="00C642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281" w:rsidRDefault="00025281" w:rsidP="00C6425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281" w:rsidRDefault="00025281" w:rsidP="00C6425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281" w:rsidRDefault="00025281" w:rsidP="00C6425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281" w:rsidRDefault="00025281" w:rsidP="00C642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281" w:rsidRDefault="00025281" w:rsidP="00C64254"/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5281" w:rsidTr="00C6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/>
        </w:tc>
      </w:tr>
    </w:tbl>
    <w:p w:rsidR="00025281" w:rsidRDefault="00025281" w:rsidP="00025281">
      <w:pPr>
        <w:sectPr w:rsidR="00025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281" w:rsidRDefault="00025281" w:rsidP="000252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25281" w:rsidTr="00C6425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281" w:rsidRDefault="00025281" w:rsidP="00C642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281" w:rsidRDefault="00025281" w:rsidP="00C642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281" w:rsidRDefault="00025281" w:rsidP="00C64254">
            <w:pPr>
              <w:spacing w:after="0"/>
              <w:ind w:left="135"/>
            </w:pPr>
          </w:p>
        </w:tc>
      </w:tr>
      <w:tr w:rsidR="00025281" w:rsidTr="00C642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281" w:rsidRDefault="00025281" w:rsidP="00C642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281" w:rsidRDefault="00025281" w:rsidP="00C6425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281" w:rsidRDefault="00025281" w:rsidP="00C6425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281" w:rsidRDefault="00025281" w:rsidP="00C6425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281" w:rsidRDefault="00025281" w:rsidP="00C642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281" w:rsidRDefault="00025281" w:rsidP="00C64254"/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25281" w:rsidRPr="002A6660" w:rsidTr="00C642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64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25281" w:rsidTr="00C6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281" w:rsidRPr="00DF64F1" w:rsidRDefault="00025281" w:rsidP="00C64254">
            <w:pPr>
              <w:spacing w:after="0"/>
              <w:ind w:left="135"/>
              <w:rPr>
                <w:lang w:val="ru-RU"/>
              </w:rPr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 w:rsidRPr="00DF64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5281" w:rsidRDefault="00025281" w:rsidP="00C64254"/>
        </w:tc>
      </w:tr>
    </w:tbl>
    <w:p w:rsidR="00025281" w:rsidRDefault="00025281" w:rsidP="00025281">
      <w:pPr>
        <w:sectPr w:rsidR="0002528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9C292A" w:rsidRDefault="009C292A"/>
    <w:sectPr w:rsidR="009C292A" w:rsidSect="009C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FE6"/>
    <w:multiLevelType w:val="multilevel"/>
    <w:tmpl w:val="D7E2B9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C6AE4"/>
    <w:multiLevelType w:val="multilevel"/>
    <w:tmpl w:val="DCB487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9D59CC"/>
    <w:multiLevelType w:val="multilevel"/>
    <w:tmpl w:val="44500B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F85F1B"/>
    <w:multiLevelType w:val="multilevel"/>
    <w:tmpl w:val="5B96E3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6B585C"/>
    <w:multiLevelType w:val="multilevel"/>
    <w:tmpl w:val="3A9257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FA7F7C"/>
    <w:multiLevelType w:val="multilevel"/>
    <w:tmpl w:val="103E7F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281"/>
    <w:rsid w:val="00025281"/>
    <w:rsid w:val="00165EEF"/>
    <w:rsid w:val="001B697A"/>
    <w:rsid w:val="002A6660"/>
    <w:rsid w:val="003F111E"/>
    <w:rsid w:val="00750E02"/>
    <w:rsid w:val="008D715B"/>
    <w:rsid w:val="009775D4"/>
    <w:rsid w:val="009A51E8"/>
    <w:rsid w:val="009C292A"/>
    <w:rsid w:val="00B11FA6"/>
    <w:rsid w:val="00C5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5293"/>
  <w15:docId w15:val="{EDC7A7B2-A53C-4F46-9309-5260ECA2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81"/>
    <w:pPr>
      <w:spacing w:after="200" w:line="276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165E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2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252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5EEF"/>
    <w:pPr>
      <w:spacing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25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25281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025281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025281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5281"/>
    <w:rPr>
      <w:rFonts w:asciiTheme="minorHAnsi" w:eastAsiaTheme="minorHAnsi" w:hAnsiTheme="minorHAnsi" w:cstheme="minorBidi"/>
      <w:lang w:val="en-US" w:eastAsia="en-US"/>
    </w:rPr>
  </w:style>
  <w:style w:type="paragraph" w:styleId="a6">
    <w:name w:val="Normal Indent"/>
    <w:basedOn w:val="a"/>
    <w:uiPriority w:val="99"/>
    <w:unhideWhenUsed/>
    <w:rsid w:val="00025281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02528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25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9">
    <w:name w:val="Title"/>
    <w:basedOn w:val="a"/>
    <w:next w:val="a"/>
    <w:link w:val="aa"/>
    <w:uiPriority w:val="1"/>
    <w:qFormat/>
    <w:rsid w:val="000252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"/>
    <w:rsid w:val="00025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b">
    <w:name w:val="Emphasis"/>
    <w:basedOn w:val="a0"/>
    <w:uiPriority w:val="20"/>
    <w:qFormat/>
    <w:rsid w:val="00025281"/>
    <w:rPr>
      <w:i/>
      <w:iCs/>
    </w:rPr>
  </w:style>
  <w:style w:type="character" w:styleId="ac">
    <w:name w:val="Hyperlink"/>
    <w:basedOn w:val="a0"/>
    <w:uiPriority w:val="99"/>
    <w:unhideWhenUsed/>
    <w:rsid w:val="0002528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25281"/>
    <w:pPr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0252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025281"/>
    <w:pPr>
      <w:widowControl w:val="0"/>
      <w:autoSpaceDE w:val="0"/>
      <w:autoSpaceDN w:val="0"/>
      <w:spacing w:after="0" w:line="240" w:lineRule="auto"/>
      <w:ind w:left="1362" w:firstLine="59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025281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3117</Words>
  <Characters>17769</Characters>
  <Application>Microsoft Office Word</Application>
  <DocSecurity>0</DocSecurity>
  <Lines>148</Lines>
  <Paragraphs>41</Paragraphs>
  <ScaleCrop>false</ScaleCrop>
  <Company/>
  <LinksUpToDate>false</LinksUpToDate>
  <CharactersWithSpaces>20845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Alla1</dc:creator>
  <cp:lastModifiedBy>11к</cp:lastModifiedBy>
  <cp:revision>5</cp:revision>
  <dcterms:created xsi:type="dcterms:W3CDTF">2024-04-12T09:12:00Z</dcterms:created>
  <dcterms:modified xsi:type="dcterms:W3CDTF">2024-04-22T11:54:00Z</dcterms:modified>
</cp:coreProperties>
</file>